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5848" w:rsidRDefault="00A35848" w:rsidP="00A35848">
      <w:pPr>
        <w:pStyle w:val="NormalWeb"/>
        <w:jc w:val="center"/>
        <w:rPr>
          <w:rStyle w:val="Textoennegrita"/>
          <w:rFonts w:ascii="Arial" w:hAnsi="Arial" w:cs="Arial"/>
          <w:sz w:val="22"/>
          <w:szCs w:val="22"/>
          <w:u w:val="single"/>
        </w:rPr>
      </w:pPr>
    </w:p>
    <w:p w:rsidR="00A35848" w:rsidRPr="00A35848" w:rsidRDefault="00A35848" w:rsidP="00A35848">
      <w:pPr>
        <w:pStyle w:val="NormalWeb"/>
        <w:jc w:val="center"/>
        <w:rPr>
          <w:rFonts w:ascii="Arial" w:hAnsi="Arial" w:cs="Arial"/>
          <w:sz w:val="22"/>
          <w:szCs w:val="22"/>
        </w:rPr>
      </w:pPr>
      <w:bookmarkStart w:id="0" w:name="_GoBack"/>
      <w:bookmarkEnd w:id="0"/>
      <w:r w:rsidRPr="00A35848">
        <w:rPr>
          <w:rStyle w:val="Textoennegrita"/>
          <w:rFonts w:ascii="Arial" w:hAnsi="Arial" w:cs="Arial"/>
          <w:sz w:val="22"/>
          <w:szCs w:val="22"/>
          <w:u w:val="single"/>
        </w:rPr>
        <w:t>LEY N° 977</w:t>
      </w:r>
      <w:r w:rsidRPr="00A35848">
        <w:rPr>
          <w:rFonts w:ascii="Arial" w:hAnsi="Arial" w:cs="Arial"/>
          <w:sz w:val="22"/>
          <w:szCs w:val="22"/>
        </w:rPr>
        <w:br/>
      </w:r>
      <w:r w:rsidRPr="00A35848">
        <w:rPr>
          <w:rStyle w:val="Textoennegrita"/>
          <w:rFonts w:ascii="Arial" w:hAnsi="Arial" w:cs="Arial"/>
          <w:sz w:val="22"/>
          <w:szCs w:val="22"/>
          <w:u w:val="single"/>
        </w:rPr>
        <w:t>LEY DE 26 DE SEPTIEMBRE DE 2017</w:t>
      </w:r>
    </w:p>
    <w:p w:rsidR="00A35848" w:rsidRPr="00A35848" w:rsidRDefault="00A35848" w:rsidP="00A35848">
      <w:pPr>
        <w:pStyle w:val="NormalWeb"/>
        <w:jc w:val="center"/>
        <w:rPr>
          <w:rFonts w:ascii="Arial" w:hAnsi="Arial" w:cs="Arial"/>
          <w:sz w:val="22"/>
          <w:szCs w:val="22"/>
        </w:rPr>
      </w:pPr>
      <w:r w:rsidRPr="00A35848">
        <w:rPr>
          <w:rStyle w:val="Textoennegrita"/>
          <w:rFonts w:ascii="Arial" w:hAnsi="Arial" w:cs="Arial"/>
          <w:sz w:val="22"/>
          <w:szCs w:val="22"/>
          <w:u w:val="single"/>
        </w:rPr>
        <w:t>EVO MORALES AYMA</w:t>
      </w:r>
      <w:r w:rsidRPr="00A35848">
        <w:rPr>
          <w:rFonts w:ascii="Arial" w:hAnsi="Arial" w:cs="Arial"/>
          <w:sz w:val="22"/>
          <w:szCs w:val="22"/>
        </w:rPr>
        <w:br/>
      </w:r>
      <w:r w:rsidRPr="00A35848">
        <w:rPr>
          <w:rStyle w:val="Textoennegrita"/>
          <w:rFonts w:ascii="Arial" w:hAnsi="Arial" w:cs="Arial"/>
          <w:sz w:val="22"/>
          <w:szCs w:val="22"/>
          <w:u w:val="single"/>
        </w:rPr>
        <w:t>PRESIDENTE CONSTITUCIONAL DEL ESTADO PLURINACIONAL DE BOLIVIA</w:t>
      </w:r>
    </w:p>
    <w:p w:rsidR="00A35848" w:rsidRPr="00A35848" w:rsidRDefault="00A35848" w:rsidP="00A35848">
      <w:pPr>
        <w:pStyle w:val="NormalWeb"/>
        <w:jc w:val="both"/>
        <w:rPr>
          <w:rFonts w:ascii="Arial" w:hAnsi="Arial" w:cs="Arial"/>
          <w:sz w:val="22"/>
          <w:szCs w:val="22"/>
        </w:rPr>
      </w:pPr>
      <w:r w:rsidRPr="00A35848">
        <w:rPr>
          <w:rFonts w:ascii="Arial" w:hAnsi="Arial" w:cs="Arial"/>
          <w:sz w:val="22"/>
          <w:szCs w:val="22"/>
        </w:rPr>
        <w:t>Por cuanto, la Asamblea Legislativa Plurinacional, ha sancionado la siguiente Ley:</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LA ASAMBLEA LEGISLATIVA PLURINACIONAL,</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DECRETA:</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LEY DE INSERCIÓN LABORAL Y DE AYUDA ECONÓMICA</w:t>
      </w:r>
      <w:r w:rsidRPr="00A35848">
        <w:rPr>
          <w:rFonts w:ascii="Arial" w:hAnsi="Arial" w:cs="Arial"/>
          <w:sz w:val="22"/>
          <w:szCs w:val="22"/>
        </w:rPr>
        <w:br/>
      </w:r>
      <w:r w:rsidRPr="00A35848">
        <w:rPr>
          <w:rStyle w:val="Textoennegrita"/>
          <w:rFonts w:ascii="Arial" w:hAnsi="Arial" w:cs="Arial"/>
          <w:sz w:val="22"/>
          <w:szCs w:val="22"/>
        </w:rPr>
        <w:t>PARA PERSONAS CON DISCAPACIDAD</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 xml:space="preserve">ARTÍCULO 1. (OBJETO). </w:t>
      </w:r>
      <w:r w:rsidRPr="00A35848">
        <w:rPr>
          <w:rFonts w:ascii="Arial" w:hAnsi="Arial" w:cs="Arial"/>
          <w:sz w:val="22"/>
          <w:szCs w:val="22"/>
        </w:rPr>
        <w:t>La presente Ley tiene por objeto:</w:t>
      </w:r>
    </w:p>
    <w:p w:rsidR="00A35848" w:rsidRPr="00A35848" w:rsidRDefault="00A35848" w:rsidP="00A35848">
      <w:pPr>
        <w:numPr>
          <w:ilvl w:val="0"/>
          <w:numId w:val="1"/>
        </w:numPr>
        <w:spacing w:before="100" w:beforeAutospacing="1" w:after="100" w:afterAutospacing="1"/>
        <w:jc w:val="both"/>
        <w:rPr>
          <w:rFonts w:ascii="Arial" w:eastAsia="Times New Roman" w:hAnsi="Arial" w:cs="Arial"/>
          <w:sz w:val="22"/>
          <w:szCs w:val="22"/>
        </w:rPr>
      </w:pPr>
      <w:r w:rsidRPr="00A35848">
        <w:rPr>
          <w:rFonts w:ascii="Arial" w:eastAsia="Times New Roman" w:hAnsi="Arial" w:cs="Arial"/>
          <w:sz w:val="22"/>
          <w:szCs w:val="22"/>
        </w:rPr>
        <w:t>Establecer la inserción laboral en los sectores público y privado, de personas con discapacidad, así como de la madre o el padre, cónyuge, tutora o tutor que se encuentre a cargo de una o más personas con discapacidad menores de dieciocho (18) años o con discapacidad grave y muy grave.</w:t>
      </w:r>
    </w:p>
    <w:p w:rsidR="00A35848" w:rsidRPr="00A35848" w:rsidRDefault="00A35848" w:rsidP="00A35848">
      <w:pPr>
        <w:numPr>
          <w:ilvl w:val="0"/>
          <w:numId w:val="1"/>
        </w:numPr>
        <w:spacing w:before="100" w:beforeAutospacing="1" w:after="100" w:afterAutospacing="1"/>
        <w:jc w:val="both"/>
        <w:rPr>
          <w:rFonts w:ascii="Arial" w:eastAsia="Times New Roman" w:hAnsi="Arial" w:cs="Arial"/>
          <w:sz w:val="22"/>
          <w:szCs w:val="22"/>
        </w:rPr>
      </w:pPr>
      <w:r w:rsidRPr="00A35848">
        <w:rPr>
          <w:rFonts w:ascii="Arial" w:eastAsia="Times New Roman" w:hAnsi="Arial" w:cs="Arial"/>
          <w:sz w:val="22"/>
          <w:szCs w:val="22"/>
        </w:rPr>
        <w:t>Crear un Bono mensual para las Personas con Discapacidad grave y muy grave.</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 xml:space="preserve">ARTÍCULO 2. (INSERCIÓN LABORAL OBLIGATORIA E INTERMEDIACIÓN). </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 xml:space="preserve">I.            </w:t>
      </w:r>
      <w:r w:rsidRPr="00A35848">
        <w:rPr>
          <w:rFonts w:ascii="Arial" w:hAnsi="Arial" w:cs="Arial"/>
          <w:sz w:val="22"/>
          <w:szCs w:val="22"/>
        </w:rPr>
        <w:t xml:space="preserve">Todas las instituciones del sector público que comprenden los Órganos del Estado Plurinacional, instituciones que ejercen funciones de control, de defensa de la sociedad y del Estado, gobiernos autónomos departamentales, regionales, municipales e indígena originario campesinos, universidades públicas, empresas públicas, instituciones financieras bancarias y no bancarias, instituciones públicas de seguridad social y todas aquellas personas naturales y jurídicas que perciban, generen y/o administren recursos públicos, tienen la obligación de insertar laboralmente a personas con discapacidad, a la madre o al padre, cónyuge, tutora o tutor que se encuentre a cargo de una o más personas con discapacidad menores de dieciocho (18) años o con discapacidad grave o muy grave, en un porcentaje no menor al cuatro por ciento (4%) de su personal. </w:t>
      </w:r>
    </w:p>
    <w:p w:rsidR="00A35848" w:rsidRPr="00A35848" w:rsidRDefault="00A35848" w:rsidP="00A35848">
      <w:pPr>
        <w:pStyle w:val="NormalWeb"/>
        <w:jc w:val="both"/>
        <w:rPr>
          <w:rFonts w:ascii="Arial" w:hAnsi="Arial" w:cs="Arial"/>
          <w:sz w:val="22"/>
          <w:szCs w:val="22"/>
        </w:rPr>
      </w:pPr>
      <w:r w:rsidRPr="00A35848">
        <w:rPr>
          <w:rFonts w:ascii="Arial" w:hAnsi="Arial" w:cs="Arial"/>
          <w:sz w:val="22"/>
          <w:szCs w:val="22"/>
        </w:rPr>
        <w:t>              En el mismo porcentaje, están obligados a aplicar las Fuerzas Armadas y la Policía Boliviana respecto a su personal administrativo.</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 xml:space="preserve">II.          </w:t>
      </w:r>
      <w:r w:rsidRPr="00A35848">
        <w:rPr>
          <w:rFonts w:ascii="Arial" w:hAnsi="Arial" w:cs="Arial"/>
          <w:sz w:val="22"/>
          <w:szCs w:val="22"/>
        </w:rPr>
        <w:t>Todas las empresas o establecimientos laborales del sector privado, que desarrollen cualquier actividad en el territorio nacional, tienen la obligación de insertar laboralmente a personas con discapacidad, a la madre o al padre, cónyuge, tutora o tutor que se encuentre a cargo de una o más personas con discapacidad menores de dieciocho (18) años o con discapacidad grave y muy grave, en un porcentaje no menor al dos por ciento (2%) de su personal.</w:t>
      </w:r>
      <w:r w:rsidRPr="00A35848">
        <w:rPr>
          <w:rStyle w:val="Textoennegrita"/>
          <w:rFonts w:ascii="Arial" w:hAnsi="Arial" w:cs="Arial"/>
          <w:sz w:val="22"/>
          <w:szCs w:val="22"/>
        </w:rPr>
        <w:t xml:space="preserve"> </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 xml:space="preserve">III.         </w:t>
      </w:r>
      <w:r w:rsidRPr="00A35848">
        <w:rPr>
          <w:rFonts w:ascii="Arial" w:hAnsi="Arial" w:cs="Arial"/>
          <w:sz w:val="22"/>
          <w:szCs w:val="22"/>
        </w:rPr>
        <w:t xml:space="preserve">Las instituciones del sector público señaladas en el Parágrafo I del presente Artículo, podrán insertar laboralmente mediante invitación directa, a personas con discapacidad; de la misma manera hacerlo en el caso de la madre o el padre, cónyuge, tutora o tutor que se encuentre a cargo de una o más personas con discapacidad menores de dieciocho (18) años o con discapacidad grave y muy grave. </w:t>
      </w:r>
    </w:p>
    <w:p w:rsidR="00A35848" w:rsidRPr="00A35848" w:rsidRDefault="00A35848" w:rsidP="00A35848">
      <w:pPr>
        <w:pStyle w:val="NormalWeb"/>
        <w:jc w:val="both"/>
        <w:rPr>
          <w:rFonts w:ascii="Arial" w:hAnsi="Arial" w:cs="Arial"/>
          <w:sz w:val="22"/>
          <w:szCs w:val="22"/>
        </w:rPr>
      </w:pPr>
      <w:r w:rsidRPr="00A35848">
        <w:rPr>
          <w:rFonts w:ascii="Arial" w:hAnsi="Arial" w:cs="Arial"/>
          <w:sz w:val="22"/>
          <w:szCs w:val="22"/>
        </w:rPr>
        <w:t xml:space="preserve">              En aquellos casos en los que se requiera la intermediación laboral, ésta será ejercida por el Ministerio de Trabajo, Empleo y Previsión Social, a través de la  Bolsa de Trabajo del Servicio Público de Empleo. </w:t>
      </w:r>
    </w:p>
    <w:p w:rsidR="00A35848" w:rsidRPr="00A35848" w:rsidRDefault="00A35848" w:rsidP="00A35848">
      <w:pPr>
        <w:pStyle w:val="NormalWeb"/>
        <w:jc w:val="both"/>
        <w:rPr>
          <w:rFonts w:ascii="Arial" w:hAnsi="Arial" w:cs="Arial"/>
          <w:sz w:val="22"/>
          <w:szCs w:val="22"/>
        </w:rPr>
      </w:pPr>
      <w:r w:rsidRPr="00A35848">
        <w:rPr>
          <w:rFonts w:ascii="Arial" w:hAnsi="Arial" w:cs="Arial"/>
          <w:sz w:val="22"/>
          <w:szCs w:val="22"/>
        </w:rPr>
        <w:t xml:space="preserve">              El Ministerio de Trabajo, Empleo y Previsión Social, es la única institución autorizada para ejercer la autorización de intermediación laboral. Cualquier persona natural o jurídica que realice intermediación </w:t>
      </w:r>
      <w:r w:rsidRPr="00A35848">
        <w:rPr>
          <w:rFonts w:ascii="Arial" w:hAnsi="Arial" w:cs="Arial"/>
          <w:sz w:val="22"/>
          <w:szCs w:val="22"/>
        </w:rPr>
        <w:lastRenderedPageBreak/>
        <w:t>laboral de persona con discapacidad, o la madre o el padre, cónyuge o la tutora o el tutor que se encuentre a cargo de una o más personas con discapacidad, será denunciada ante el Ministerio Público por presunta comisión de delitos de trata y tráfico de personas.</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 xml:space="preserve">IV.         </w:t>
      </w:r>
      <w:r w:rsidRPr="00A35848">
        <w:rPr>
          <w:rFonts w:ascii="Arial" w:hAnsi="Arial" w:cs="Arial"/>
          <w:sz w:val="22"/>
          <w:szCs w:val="22"/>
        </w:rPr>
        <w:t>Las instituciones del sector público y las empresas o establecimientos laborales del sector privado que inserten laboralmente en porcentajes superiores a los establecidos en el presente Artículo, obtendrán distinciones y reconocimientos a establecerse en norma reglamentaria.</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V.</w:t>
      </w:r>
      <w:r w:rsidRPr="00A35848">
        <w:rPr>
          <w:rFonts w:ascii="Arial" w:hAnsi="Arial" w:cs="Arial"/>
          <w:sz w:val="22"/>
          <w:szCs w:val="22"/>
        </w:rPr>
        <w:t xml:space="preserve">           El Estado Plurinacional de Bolivia garantizará la inamovilidad de las personas con discapacidad, así como de la madre o el padre, cónyuge, tutora o tutor que se encuentre a cargo de una o más personas con discapacidad menores de dieciocho (18) años o con discapacidad grave y muy grave, en los sectores público y privado, siempre y cuando cumplan con la normativa vigente y no existan causales que justifiquen su desvinculación.</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VI.</w:t>
      </w:r>
      <w:r w:rsidRPr="00A35848">
        <w:rPr>
          <w:rFonts w:ascii="Arial" w:hAnsi="Arial" w:cs="Arial"/>
          <w:sz w:val="22"/>
          <w:szCs w:val="22"/>
        </w:rPr>
        <w:t xml:space="preserve">         Las instituciones del sector público y las empresas o establecimientos laborales del sector privado deberán:</w:t>
      </w:r>
    </w:p>
    <w:p w:rsidR="00A35848" w:rsidRPr="00A35848" w:rsidRDefault="00A35848" w:rsidP="00A35848">
      <w:pPr>
        <w:numPr>
          <w:ilvl w:val="0"/>
          <w:numId w:val="2"/>
        </w:numPr>
        <w:spacing w:before="100" w:beforeAutospacing="1" w:after="100" w:afterAutospacing="1"/>
        <w:jc w:val="both"/>
        <w:rPr>
          <w:rFonts w:ascii="Arial" w:eastAsia="Times New Roman" w:hAnsi="Arial" w:cs="Arial"/>
          <w:sz w:val="22"/>
          <w:szCs w:val="22"/>
        </w:rPr>
      </w:pPr>
      <w:r w:rsidRPr="00A35848">
        <w:rPr>
          <w:rFonts w:ascii="Arial" w:eastAsia="Times New Roman" w:hAnsi="Arial" w:cs="Arial"/>
          <w:sz w:val="22"/>
          <w:szCs w:val="22"/>
        </w:rPr>
        <w:t>Brindar accesibilidad a su personal con discapacidad.</w:t>
      </w:r>
    </w:p>
    <w:p w:rsidR="00A35848" w:rsidRPr="00A35848" w:rsidRDefault="00A35848" w:rsidP="00A35848">
      <w:pPr>
        <w:numPr>
          <w:ilvl w:val="0"/>
          <w:numId w:val="2"/>
        </w:numPr>
        <w:spacing w:before="100" w:beforeAutospacing="1" w:after="100" w:afterAutospacing="1"/>
        <w:jc w:val="both"/>
        <w:rPr>
          <w:rFonts w:ascii="Arial" w:eastAsia="Times New Roman" w:hAnsi="Arial" w:cs="Arial"/>
          <w:sz w:val="22"/>
          <w:szCs w:val="22"/>
        </w:rPr>
      </w:pPr>
      <w:r w:rsidRPr="00A35848">
        <w:rPr>
          <w:rFonts w:ascii="Arial" w:eastAsia="Times New Roman" w:hAnsi="Arial" w:cs="Arial"/>
          <w:sz w:val="22"/>
          <w:szCs w:val="22"/>
        </w:rPr>
        <w:t>Realizar reportes trimestrales al Ministerio de Trabajo, Empleo y Previsión Social, conforme a reglamentación especial.</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 xml:space="preserve">VII.       </w:t>
      </w:r>
      <w:r w:rsidRPr="00A35848">
        <w:rPr>
          <w:rFonts w:ascii="Arial" w:hAnsi="Arial" w:cs="Arial"/>
          <w:sz w:val="22"/>
          <w:szCs w:val="22"/>
        </w:rPr>
        <w:t>El Ministerio de Trabajo, Empleo y Previsión Social, es la entidad encargada de coordinar con el Ministerio de Salud, la interoperabilidad de datos en el Sistema de Información del Programa de Registro Único Nacional de Personas con Discapacidad – SIPRUN.PCD, y del Sistema de Control de Afiliados – SICOA del Instituto Boliviano de la Ceguera, de acuerdo al Artículo 3 del Decreto Supremo N° 1893.</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 xml:space="preserve">VIII.      </w:t>
      </w:r>
      <w:r w:rsidRPr="00A35848">
        <w:rPr>
          <w:rFonts w:ascii="Arial" w:hAnsi="Arial" w:cs="Arial"/>
          <w:sz w:val="22"/>
          <w:szCs w:val="22"/>
        </w:rPr>
        <w:t>Las instituciones del sector público y las empresas o establecimientos laborales del sector privado, tienen la obligación de adjuntar a las planillas que se entregan trimestralmente al Ministerio de Trabajo, Empleo y Previsión Social, información sobre las personas con discapacidad, así como de la madre o el padre, cónyuge, tutora o tutor que se encuentre a cargo de una o más personas con discapacidad menores de dieciocho (18) años o con discapacidad grave y muy grave, que hayan sido insertadas laboralmente, y de los puestos laborales vacantes para este mismo fin, debiendo esta cartera de Estado mantener un registro actualizado.</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 xml:space="preserve">ARTÍCULO 3. (BONO MENSUAL PARA LAS PERSONAS CON DISCAPACIDAD GRAVE Y MUY GRAVE). </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 xml:space="preserve">I.            </w:t>
      </w:r>
      <w:r w:rsidRPr="00A35848">
        <w:rPr>
          <w:rFonts w:ascii="Arial" w:hAnsi="Arial" w:cs="Arial"/>
          <w:sz w:val="22"/>
          <w:szCs w:val="22"/>
        </w:rPr>
        <w:t>Es responsabilidad de los Gobiernos Autónomos Municipales, el pago de un Bono mensual para las Personas con Discapacidad grave y muy grave, que tengan acreditado legalmente su domicilio en su respectiva jurisdicción.</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 xml:space="preserve">II.          </w:t>
      </w:r>
      <w:r w:rsidRPr="00A35848">
        <w:rPr>
          <w:rFonts w:ascii="Arial" w:hAnsi="Arial" w:cs="Arial"/>
          <w:sz w:val="22"/>
          <w:szCs w:val="22"/>
        </w:rPr>
        <w:t xml:space="preserve">Se exceptúa el pago del Bono mensual a las personas que ya se encuentren beneficiadas con la inserción laboral, establecida en el Artículo 2 de la presente Ley. </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 xml:space="preserve">III.         </w:t>
      </w:r>
      <w:r w:rsidRPr="00A35848">
        <w:rPr>
          <w:rFonts w:ascii="Arial" w:hAnsi="Arial" w:cs="Arial"/>
          <w:sz w:val="22"/>
          <w:szCs w:val="22"/>
        </w:rPr>
        <w:t>El monto del Bono mensual para las Personas con Discapacidad grave y muy grave, es de Bs250.- (Doscientos Cincuenta 00/100 Bolivianos), el cual entrará en vigencia a partir de la gestión 2018.</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 xml:space="preserve">IV.         </w:t>
      </w:r>
      <w:r w:rsidRPr="00A35848">
        <w:rPr>
          <w:rFonts w:ascii="Arial" w:hAnsi="Arial" w:cs="Arial"/>
          <w:sz w:val="22"/>
          <w:szCs w:val="22"/>
        </w:rPr>
        <w:t xml:space="preserve">Los Gobiernos Autónomos Municipales financiarán el pago del Bono mensual para Personas con Discapacidad grave y muy grave, con recursos de cualquiera  de sus fuentes de ingresos. </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V.</w:t>
      </w:r>
      <w:r w:rsidRPr="00A35848">
        <w:rPr>
          <w:rFonts w:ascii="Arial" w:hAnsi="Arial" w:cs="Arial"/>
          <w:sz w:val="22"/>
          <w:szCs w:val="22"/>
        </w:rPr>
        <w:t xml:space="preserve">           El Ministerio de Economía y Finanzas Públicas, a través del Tesoro General de la Nación - TGN, asignará anualmente recursos del Fondo Nacional de Solidaridad y Equidad, por un monto máximo de hasta Bs15.000.000.- (Quince Millones 00/100 Bolivianos) destinados a aportar al pago del Bono mensual para las Personas con Discapacidad grave y muy grave, conforme a reglamentación específica. </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lastRenderedPageBreak/>
        <w:t>VI.</w:t>
      </w:r>
      <w:r w:rsidRPr="00A35848">
        <w:rPr>
          <w:rFonts w:ascii="Arial" w:hAnsi="Arial" w:cs="Arial"/>
          <w:sz w:val="22"/>
          <w:szCs w:val="22"/>
        </w:rPr>
        <w:t xml:space="preserve">         Las y los beneficiarios del Bono mensual para las Personas con Discapacidad  grave y muy grave, deberán estar registrados en el Sistema de Información del Programa de Registro Único Nacional de Personas con Discapacidad – SIPRUN.PCD del Ministerio de Salud y contar con el carnet de discapacidad vigente, de acuerdo a reglamento. </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VII.</w:t>
      </w:r>
      <w:r w:rsidRPr="00A35848">
        <w:rPr>
          <w:rFonts w:ascii="Arial" w:hAnsi="Arial" w:cs="Arial"/>
          <w:sz w:val="22"/>
          <w:szCs w:val="22"/>
        </w:rPr>
        <w:t xml:space="preserve">       Los Gobiernos Autónomos Municipales tendrán acceso a la Base de Datos del SIPRUN.PCD y del Ministerio de Trabajo, Empleo y Previsión Social, de acuerdo a reglamento. </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 xml:space="preserve">VIII.      </w:t>
      </w:r>
      <w:r w:rsidRPr="00A35848">
        <w:rPr>
          <w:rFonts w:ascii="Arial" w:hAnsi="Arial" w:cs="Arial"/>
          <w:sz w:val="22"/>
          <w:szCs w:val="22"/>
        </w:rPr>
        <w:t>Los Gobiernos Autónomos Municipales elaborarán los procedimientos para ejecutar el pago del Bono mensual para las Personas con Discapacidad grave y muy grave.</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 xml:space="preserve">IX.         </w:t>
      </w:r>
      <w:r w:rsidRPr="00A35848">
        <w:rPr>
          <w:rFonts w:ascii="Arial" w:hAnsi="Arial" w:cs="Arial"/>
          <w:sz w:val="22"/>
          <w:szCs w:val="22"/>
        </w:rPr>
        <w:t>Se exceptúa de las disposiciones del presente Artículo, las personas con discapacidad que perciban el bono de indigencia.</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DISPOSICIONES TRANSITORIAS</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 xml:space="preserve">PRIMERA. </w:t>
      </w:r>
      <w:r w:rsidRPr="00A35848">
        <w:rPr>
          <w:rFonts w:ascii="Arial" w:hAnsi="Arial" w:cs="Arial"/>
          <w:sz w:val="22"/>
          <w:szCs w:val="22"/>
        </w:rPr>
        <w:t>El cumplimiento del Artículo 3 de la presente Ley será exigible a partir de la interoperabilidad del SIPRUN.PCD, del Sistema del Ministerio de Trabajo, Empleo y Previsión Social, y su acceso por jurisdicción municipal.</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 xml:space="preserve">SEGUNDA. </w:t>
      </w:r>
      <w:r w:rsidRPr="00A35848">
        <w:rPr>
          <w:rFonts w:ascii="Arial" w:hAnsi="Arial" w:cs="Arial"/>
          <w:sz w:val="22"/>
          <w:szCs w:val="22"/>
        </w:rPr>
        <w:t>La renta solidaria a favor de las personas con discapacidad, se pagará hasta el 31 de diciembre de 2017.</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 xml:space="preserve">TERCERA. </w:t>
      </w:r>
      <w:r w:rsidRPr="00A35848">
        <w:rPr>
          <w:rFonts w:ascii="Arial" w:hAnsi="Arial" w:cs="Arial"/>
          <w:sz w:val="22"/>
          <w:szCs w:val="22"/>
        </w:rPr>
        <w:t>La reglamentación de la presente Ley, se deberá realizar en un plazo no mayor a noventa (90) días calendario a partir de su publicación.</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 xml:space="preserve">CUARTA. </w:t>
      </w:r>
      <w:r w:rsidRPr="00A35848">
        <w:rPr>
          <w:rFonts w:ascii="Arial" w:hAnsi="Arial" w:cs="Arial"/>
          <w:sz w:val="22"/>
          <w:szCs w:val="22"/>
        </w:rPr>
        <w:t>Los Gobiernos Autónomos Municipales realizarán las modificaciones presupuestarias necesarias para el cumplimiento de la presente Ley.</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DISPOSICIONES DEROGATORIAS Y ABROGATORIAS</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 xml:space="preserve">PRIMERA. </w:t>
      </w:r>
      <w:r w:rsidRPr="00A35848">
        <w:rPr>
          <w:rFonts w:ascii="Arial" w:hAnsi="Arial" w:cs="Arial"/>
          <w:sz w:val="22"/>
          <w:szCs w:val="22"/>
        </w:rPr>
        <w:t>Se deroga el Artículo 28 y los Parágrafos II y IV del Artículo 34 de la Ley N° 223 de 2 de Marzo de 2012, “Ley General para Personas con Discapacidad”.</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 xml:space="preserve">SEGUNDA. </w:t>
      </w:r>
      <w:r w:rsidRPr="00A35848">
        <w:rPr>
          <w:rFonts w:ascii="Arial" w:hAnsi="Arial" w:cs="Arial"/>
          <w:sz w:val="22"/>
          <w:szCs w:val="22"/>
        </w:rPr>
        <w:t xml:space="preserve">Se abrogan: el Decreto Supremo N° 1133 de 8 de febrero de 2012, el Decreto Supremo N° 1498 de 20 de febrero de 2013, y el Decreto Supremo N° 2626 de 9 de diciembre de 2015. </w:t>
      </w:r>
    </w:p>
    <w:p w:rsidR="00A35848" w:rsidRPr="00A35848" w:rsidRDefault="00A35848" w:rsidP="00A35848">
      <w:pPr>
        <w:pStyle w:val="NormalWeb"/>
        <w:jc w:val="both"/>
        <w:rPr>
          <w:rFonts w:ascii="Arial" w:hAnsi="Arial" w:cs="Arial"/>
          <w:sz w:val="22"/>
          <w:szCs w:val="22"/>
        </w:rPr>
      </w:pPr>
      <w:r w:rsidRPr="00A35848">
        <w:rPr>
          <w:rFonts w:ascii="Arial" w:hAnsi="Arial" w:cs="Arial"/>
          <w:sz w:val="22"/>
          <w:szCs w:val="22"/>
        </w:rPr>
        <w:t>Remítase al Órgano Ejecutivo para fines constitucionales.</w:t>
      </w:r>
    </w:p>
    <w:p w:rsidR="00A35848" w:rsidRPr="00A35848" w:rsidRDefault="00A35848" w:rsidP="00A35848">
      <w:pPr>
        <w:pStyle w:val="NormalWeb"/>
        <w:jc w:val="both"/>
        <w:rPr>
          <w:rFonts w:ascii="Arial" w:hAnsi="Arial" w:cs="Arial"/>
          <w:sz w:val="22"/>
          <w:szCs w:val="22"/>
        </w:rPr>
      </w:pPr>
      <w:r w:rsidRPr="00A35848">
        <w:rPr>
          <w:rFonts w:ascii="Arial" w:hAnsi="Arial" w:cs="Arial"/>
          <w:sz w:val="22"/>
          <w:szCs w:val="22"/>
        </w:rPr>
        <w:t>Es dada en la Sala de Sesiones de la Asamblea Legislativa Plurinacional, a los veintinueve días del mes de agosto del año dos mil diecisiete.</w:t>
      </w:r>
    </w:p>
    <w:p w:rsidR="00A35848" w:rsidRPr="00A35848" w:rsidRDefault="00A35848" w:rsidP="00A35848">
      <w:pPr>
        <w:pStyle w:val="NormalWeb"/>
        <w:jc w:val="both"/>
        <w:rPr>
          <w:rFonts w:ascii="Arial" w:hAnsi="Arial" w:cs="Arial"/>
          <w:sz w:val="22"/>
          <w:szCs w:val="22"/>
        </w:rPr>
      </w:pPr>
      <w:r w:rsidRPr="00A35848">
        <w:rPr>
          <w:rFonts w:ascii="Arial" w:hAnsi="Arial" w:cs="Arial"/>
          <w:sz w:val="22"/>
          <w:szCs w:val="22"/>
        </w:rPr>
        <w:t xml:space="preserve">Fdo. José Alberto Gonzales Samaniego, Lilly Gabriela Montaño </w:t>
      </w:r>
      <w:proofErr w:type="spellStart"/>
      <w:r w:rsidRPr="00A35848">
        <w:rPr>
          <w:rFonts w:ascii="Arial" w:hAnsi="Arial" w:cs="Arial"/>
          <w:sz w:val="22"/>
          <w:szCs w:val="22"/>
        </w:rPr>
        <w:t>Viaña</w:t>
      </w:r>
      <w:proofErr w:type="spellEnd"/>
      <w:r w:rsidRPr="00A35848">
        <w:rPr>
          <w:rStyle w:val="Textoennegrita"/>
          <w:rFonts w:ascii="Arial" w:hAnsi="Arial" w:cs="Arial"/>
          <w:sz w:val="22"/>
          <w:szCs w:val="22"/>
        </w:rPr>
        <w:t xml:space="preserve">, </w:t>
      </w:r>
      <w:r w:rsidRPr="00A35848">
        <w:rPr>
          <w:rFonts w:ascii="Arial" w:hAnsi="Arial" w:cs="Arial"/>
          <w:sz w:val="22"/>
          <w:szCs w:val="22"/>
        </w:rPr>
        <w:t xml:space="preserve">Omar Paul Aguilar </w:t>
      </w:r>
      <w:proofErr w:type="spellStart"/>
      <w:r w:rsidRPr="00A35848">
        <w:rPr>
          <w:rFonts w:ascii="Arial" w:hAnsi="Arial" w:cs="Arial"/>
          <w:sz w:val="22"/>
          <w:szCs w:val="22"/>
        </w:rPr>
        <w:t>Condo</w:t>
      </w:r>
      <w:proofErr w:type="spellEnd"/>
      <w:r w:rsidRPr="00A35848">
        <w:rPr>
          <w:rFonts w:ascii="Arial" w:hAnsi="Arial" w:cs="Arial"/>
          <w:sz w:val="22"/>
          <w:szCs w:val="22"/>
        </w:rPr>
        <w:t xml:space="preserve">, Patricia M. Gómez Andrade, Gonzalo Aguilar </w:t>
      </w:r>
      <w:proofErr w:type="spellStart"/>
      <w:r w:rsidRPr="00A35848">
        <w:rPr>
          <w:rFonts w:ascii="Arial" w:hAnsi="Arial" w:cs="Arial"/>
          <w:sz w:val="22"/>
          <w:szCs w:val="22"/>
        </w:rPr>
        <w:t>Ayma</w:t>
      </w:r>
      <w:proofErr w:type="spellEnd"/>
      <w:r w:rsidRPr="00A35848">
        <w:rPr>
          <w:rFonts w:ascii="Arial" w:hAnsi="Arial" w:cs="Arial"/>
          <w:sz w:val="22"/>
          <w:szCs w:val="22"/>
        </w:rPr>
        <w:t xml:space="preserve">, </w:t>
      </w:r>
      <w:proofErr w:type="spellStart"/>
      <w:r w:rsidRPr="00A35848">
        <w:rPr>
          <w:rFonts w:ascii="Arial" w:hAnsi="Arial" w:cs="Arial"/>
          <w:sz w:val="22"/>
          <w:szCs w:val="22"/>
        </w:rPr>
        <w:t>Ginna</w:t>
      </w:r>
      <w:proofErr w:type="spellEnd"/>
      <w:r w:rsidRPr="00A35848">
        <w:rPr>
          <w:rFonts w:ascii="Arial" w:hAnsi="Arial" w:cs="Arial"/>
          <w:sz w:val="22"/>
          <w:szCs w:val="22"/>
        </w:rPr>
        <w:t xml:space="preserve"> María </w:t>
      </w:r>
      <w:proofErr w:type="spellStart"/>
      <w:r w:rsidRPr="00A35848">
        <w:rPr>
          <w:rFonts w:ascii="Arial" w:hAnsi="Arial" w:cs="Arial"/>
          <w:sz w:val="22"/>
          <w:szCs w:val="22"/>
        </w:rPr>
        <w:t>Tórrez</w:t>
      </w:r>
      <w:proofErr w:type="spellEnd"/>
      <w:r w:rsidRPr="00A35848">
        <w:rPr>
          <w:rFonts w:ascii="Arial" w:hAnsi="Arial" w:cs="Arial"/>
          <w:sz w:val="22"/>
          <w:szCs w:val="22"/>
        </w:rPr>
        <w:t xml:space="preserve"> </w:t>
      </w:r>
      <w:proofErr w:type="spellStart"/>
      <w:r w:rsidRPr="00A35848">
        <w:rPr>
          <w:rFonts w:ascii="Arial" w:hAnsi="Arial" w:cs="Arial"/>
          <w:sz w:val="22"/>
          <w:szCs w:val="22"/>
        </w:rPr>
        <w:t>Saracho</w:t>
      </w:r>
      <w:proofErr w:type="spellEnd"/>
      <w:r w:rsidRPr="00A35848">
        <w:rPr>
          <w:rFonts w:ascii="Arial" w:hAnsi="Arial" w:cs="Arial"/>
          <w:sz w:val="22"/>
          <w:szCs w:val="22"/>
        </w:rPr>
        <w:t>.</w:t>
      </w:r>
    </w:p>
    <w:p w:rsidR="00A35848" w:rsidRPr="00A35848" w:rsidRDefault="00A35848" w:rsidP="00A35848">
      <w:pPr>
        <w:pStyle w:val="NormalWeb"/>
        <w:jc w:val="both"/>
        <w:rPr>
          <w:rFonts w:ascii="Arial" w:hAnsi="Arial" w:cs="Arial"/>
          <w:sz w:val="22"/>
          <w:szCs w:val="22"/>
        </w:rPr>
      </w:pPr>
      <w:r w:rsidRPr="00A35848">
        <w:rPr>
          <w:rFonts w:ascii="Arial" w:hAnsi="Arial" w:cs="Arial"/>
          <w:sz w:val="22"/>
          <w:szCs w:val="22"/>
        </w:rPr>
        <w:t>Por tanto, la promulgo para que se tenga y cumpla como Ley del Estado Plurinacional de Bolivia.</w:t>
      </w:r>
    </w:p>
    <w:p w:rsidR="00A35848" w:rsidRPr="00A35848" w:rsidRDefault="00A35848" w:rsidP="00A35848">
      <w:pPr>
        <w:pStyle w:val="NormalWeb"/>
        <w:jc w:val="both"/>
        <w:rPr>
          <w:rFonts w:ascii="Arial" w:hAnsi="Arial" w:cs="Arial"/>
          <w:sz w:val="22"/>
          <w:szCs w:val="22"/>
        </w:rPr>
      </w:pPr>
      <w:r w:rsidRPr="00A35848">
        <w:rPr>
          <w:rFonts w:ascii="Arial" w:hAnsi="Arial" w:cs="Arial"/>
          <w:sz w:val="22"/>
          <w:szCs w:val="22"/>
        </w:rPr>
        <w:t>Palacio de Gobierno de la ciudad de La Paz, a los veintiséis días del mes de septiembre  del año dos mil diecisiete.</w:t>
      </w:r>
    </w:p>
    <w:p w:rsidR="00A35848" w:rsidRPr="00A35848" w:rsidRDefault="00A35848" w:rsidP="00A35848">
      <w:pPr>
        <w:pStyle w:val="NormalWeb"/>
        <w:jc w:val="both"/>
        <w:rPr>
          <w:rFonts w:ascii="Arial" w:hAnsi="Arial" w:cs="Arial"/>
          <w:sz w:val="22"/>
          <w:szCs w:val="22"/>
        </w:rPr>
      </w:pPr>
      <w:r w:rsidRPr="00A35848">
        <w:rPr>
          <w:rStyle w:val="Textoennegrita"/>
          <w:rFonts w:ascii="Arial" w:hAnsi="Arial" w:cs="Arial"/>
          <w:sz w:val="22"/>
          <w:szCs w:val="22"/>
        </w:rPr>
        <w:t>FDO. EVO MORALES AYMA</w:t>
      </w:r>
      <w:r w:rsidRPr="00A35848">
        <w:rPr>
          <w:rFonts w:ascii="Arial" w:hAnsi="Arial" w:cs="Arial"/>
          <w:sz w:val="22"/>
          <w:szCs w:val="22"/>
        </w:rPr>
        <w:t xml:space="preserve">, René Martínez </w:t>
      </w:r>
      <w:proofErr w:type="spellStart"/>
      <w:r w:rsidRPr="00A35848">
        <w:rPr>
          <w:rFonts w:ascii="Arial" w:hAnsi="Arial" w:cs="Arial"/>
          <w:sz w:val="22"/>
          <w:szCs w:val="22"/>
        </w:rPr>
        <w:t>Callahuanca</w:t>
      </w:r>
      <w:proofErr w:type="spellEnd"/>
      <w:r w:rsidRPr="00A35848">
        <w:rPr>
          <w:rFonts w:ascii="Arial" w:hAnsi="Arial" w:cs="Arial"/>
          <w:sz w:val="22"/>
          <w:szCs w:val="22"/>
        </w:rPr>
        <w:t xml:space="preserve">, Carlos Gustavo Romero </w:t>
      </w:r>
      <w:proofErr w:type="spellStart"/>
      <w:r w:rsidRPr="00A35848">
        <w:rPr>
          <w:rFonts w:ascii="Arial" w:hAnsi="Arial" w:cs="Arial"/>
          <w:sz w:val="22"/>
          <w:szCs w:val="22"/>
        </w:rPr>
        <w:t>Bonifaz</w:t>
      </w:r>
      <w:proofErr w:type="spellEnd"/>
      <w:r w:rsidRPr="00A35848">
        <w:rPr>
          <w:rFonts w:ascii="Arial" w:hAnsi="Arial" w:cs="Arial"/>
          <w:sz w:val="22"/>
          <w:szCs w:val="22"/>
        </w:rPr>
        <w:t xml:space="preserve">, Mario Alberto Guillén Suárez, Héctor Enrique Arce </w:t>
      </w:r>
      <w:proofErr w:type="spellStart"/>
      <w:r w:rsidRPr="00A35848">
        <w:rPr>
          <w:rFonts w:ascii="Arial" w:hAnsi="Arial" w:cs="Arial"/>
          <w:sz w:val="22"/>
          <w:szCs w:val="22"/>
        </w:rPr>
        <w:t>Zaconeta</w:t>
      </w:r>
      <w:proofErr w:type="spellEnd"/>
      <w:r w:rsidRPr="00A35848">
        <w:rPr>
          <w:rFonts w:ascii="Arial" w:hAnsi="Arial" w:cs="Arial"/>
          <w:sz w:val="22"/>
          <w:szCs w:val="22"/>
        </w:rPr>
        <w:t>, Héctor Andrés Hinojosa Rodríguez, Ariana Campero Nava.</w:t>
      </w:r>
    </w:p>
    <w:p w:rsidR="004D61C6" w:rsidRPr="00A35848" w:rsidRDefault="004D61C6" w:rsidP="00A35848">
      <w:pPr>
        <w:jc w:val="both"/>
        <w:rPr>
          <w:sz w:val="22"/>
          <w:szCs w:val="22"/>
        </w:rPr>
      </w:pPr>
    </w:p>
    <w:p w:rsidR="00A35848" w:rsidRPr="00A35848" w:rsidRDefault="00A35848">
      <w:pPr>
        <w:jc w:val="both"/>
        <w:rPr>
          <w:sz w:val="22"/>
          <w:szCs w:val="22"/>
        </w:rPr>
      </w:pPr>
    </w:p>
    <w:sectPr w:rsidR="00A35848" w:rsidRPr="00A35848" w:rsidSect="00A35848">
      <w:pgSz w:w="12240" w:h="15840" w:code="1"/>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A45A03"/>
    <w:multiLevelType w:val="multilevel"/>
    <w:tmpl w:val="FEF6E9E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5E8D1B35"/>
    <w:multiLevelType w:val="multilevel"/>
    <w:tmpl w:val="FF8E745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848"/>
    <w:rsid w:val="004D61C6"/>
    <w:rsid w:val="00A358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5848"/>
    <w:pPr>
      <w:spacing w:after="0" w:line="240" w:lineRule="auto"/>
    </w:pPr>
    <w:rPr>
      <w:rFonts w:ascii="Times New Roman" w:eastAsiaTheme="minorEastAsia"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A35848"/>
    <w:pPr>
      <w:spacing w:before="100" w:beforeAutospacing="1" w:after="100" w:afterAutospacing="1"/>
    </w:pPr>
  </w:style>
  <w:style w:type="character" w:styleId="Textoennegrita">
    <w:name w:val="Strong"/>
    <w:basedOn w:val="Fuentedeprrafopredeter"/>
    <w:uiPriority w:val="22"/>
    <w:qFormat/>
    <w:rsid w:val="00A3584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5848"/>
    <w:pPr>
      <w:spacing w:after="0" w:line="240" w:lineRule="auto"/>
    </w:pPr>
    <w:rPr>
      <w:rFonts w:ascii="Times New Roman" w:eastAsiaTheme="minorEastAsia"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A35848"/>
    <w:pPr>
      <w:spacing w:before="100" w:beforeAutospacing="1" w:after="100" w:afterAutospacing="1"/>
    </w:pPr>
  </w:style>
  <w:style w:type="character" w:styleId="Textoennegrita">
    <w:name w:val="Strong"/>
    <w:basedOn w:val="Fuentedeprrafopredeter"/>
    <w:uiPriority w:val="22"/>
    <w:qFormat/>
    <w:rsid w:val="00A358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1449</Words>
  <Characters>7972</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2017-11-13T18:44:00Z</cp:lastPrinted>
  <dcterms:created xsi:type="dcterms:W3CDTF">2017-11-13T18:40:00Z</dcterms:created>
  <dcterms:modified xsi:type="dcterms:W3CDTF">2017-11-13T18:47:00Z</dcterms:modified>
</cp:coreProperties>
</file>